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6D" w:rsidRPr="00E23F22" w:rsidRDefault="0089146D" w:rsidP="0089146D">
      <w:pPr>
        <w:spacing w:after="0" w:line="240" w:lineRule="auto"/>
        <w:jc w:val="center"/>
        <w:rPr>
          <w:rFonts w:ascii="Nikosh" w:hAnsi="Nikosh" w:cs="Nikosh"/>
          <w:sz w:val="18"/>
          <w:szCs w:val="18"/>
          <w:cs/>
          <w:lang w:bidi="bn-IN"/>
        </w:rPr>
      </w:pPr>
    </w:p>
    <w:p w:rsidR="0089146D" w:rsidRPr="009F2842" w:rsidRDefault="0089146D" w:rsidP="0089146D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>
        <w:rPr>
          <w:noProof/>
          <w:lang w:bidi="bn-B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27305</wp:posOffset>
            </wp:positionV>
            <wp:extent cx="1004570" cy="763270"/>
            <wp:effectExtent l="0" t="0" r="0" b="0"/>
            <wp:wrapNone/>
            <wp:docPr id="7" name="Picture 7" descr="mujib_logo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jib_logo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2842">
        <w:rPr>
          <w:rFonts w:ascii="Nikosh" w:hAnsi="Nikosh" w:cs="Nikosh" w:hint="cs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89146D" w:rsidRPr="00A41CFA" w:rsidRDefault="0089146D" w:rsidP="0089146D">
      <w:pPr>
        <w:spacing w:after="0"/>
        <w:jc w:val="center"/>
        <w:rPr>
          <w:rFonts w:ascii="Nikosh" w:hAnsi="Nikosh" w:cs="Nikosh"/>
          <w:b/>
          <w:bCs/>
          <w:sz w:val="26"/>
          <w:szCs w:val="26"/>
          <w:cs/>
          <w:lang w:bidi="bn-BD"/>
        </w:rPr>
      </w:pPr>
      <w:r w:rsidRPr="00A41CFA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বাংলাদেশ </w:t>
      </w:r>
      <w:r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ট্রেড এন্ড </w:t>
      </w:r>
      <w:r w:rsidRPr="00A41CFA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ট্যারিফ কমিশন</w:t>
      </w:r>
    </w:p>
    <w:p w:rsidR="0089146D" w:rsidRPr="00CA24EA" w:rsidRDefault="0089146D" w:rsidP="0089146D">
      <w:pPr>
        <w:spacing w:after="0"/>
        <w:jc w:val="center"/>
        <w:rPr>
          <w:rFonts w:ascii="Nikosh" w:hAnsi="Nikosh" w:cs="Nikosh"/>
          <w:sz w:val="26"/>
          <w:szCs w:val="26"/>
          <w:cs/>
          <w:lang w:bidi="bn-BD"/>
        </w:rPr>
      </w:pPr>
      <w:r w:rsidRPr="00CA24EA">
        <w:rPr>
          <w:rFonts w:ascii="Nikosh" w:hAnsi="Nikosh" w:cs="Nikosh" w:hint="cs"/>
          <w:sz w:val="26"/>
          <w:szCs w:val="26"/>
          <w:cs/>
          <w:lang w:bidi="bn-BD"/>
        </w:rPr>
        <w:t>১ম ১২ তলা সরকারি অফিস ভবন (১০ম তলা)</w:t>
      </w:r>
    </w:p>
    <w:p w:rsidR="0089146D" w:rsidRPr="006A5035" w:rsidRDefault="0089146D" w:rsidP="0089146D">
      <w:pPr>
        <w:spacing w:after="0"/>
        <w:jc w:val="center"/>
        <w:rPr>
          <w:rFonts w:ascii="Arial" w:hAnsi="Arial" w:cs="Arial"/>
          <w:sz w:val="26"/>
          <w:szCs w:val="26"/>
          <w:cs/>
          <w:lang w:bidi="bn-BD"/>
        </w:rPr>
      </w:pPr>
      <w:r w:rsidRPr="00CA24EA">
        <w:rPr>
          <w:rFonts w:ascii="Nikosh" w:hAnsi="Nikosh" w:cs="Nikosh" w:hint="cs"/>
          <w:sz w:val="26"/>
          <w:szCs w:val="26"/>
          <w:cs/>
          <w:lang w:bidi="bn-BD"/>
        </w:rPr>
        <w:t>সেগুনবাগিচা, ঢাকা।</w:t>
      </w:r>
    </w:p>
    <w:p w:rsidR="0089146D" w:rsidRPr="00000F20" w:rsidRDefault="0089146D" w:rsidP="0089146D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  <w:cs/>
          <w:lang w:bidi="bn-BD"/>
        </w:rPr>
      </w:pPr>
      <w:r w:rsidRPr="00000F20">
        <w:rPr>
          <w:rFonts w:ascii="Arial" w:hAnsi="Arial" w:cs="Arial"/>
          <w:b/>
          <w:sz w:val="18"/>
          <w:szCs w:val="18"/>
          <w:u w:val="single"/>
          <w:cs/>
          <w:lang w:bidi="bn-BD"/>
        </w:rPr>
        <w:t>www.btc.gov.bd</w:t>
      </w:r>
    </w:p>
    <w:tbl>
      <w:tblPr>
        <w:tblW w:w="10332" w:type="dxa"/>
        <w:tblInd w:w="198" w:type="dxa"/>
        <w:tblLayout w:type="fixed"/>
        <w:tblLook w:val="04A0"/>
      </w:tblPr>
      <w:tblGrid>
        <w:gridCol w:w="4842"/>
        <w:gridCol w:w="3600"/>
        <w:gridCol w:w="1890"/>
      </w:tblGrid>
      <w:tr w:rsidR="0089146D" w:rsidRPr="000A0A8B" w:rsidTr="00854E1B">
        <w:tc>
          <w:tcPr>
            <w:tcW w:w="4842" w:type="dxa"/>
            <w:vMerge w:val="restart"/>
            <w:vAlign w:val="center"/>
          </w:tcPr>
          <w:p w:rsidR="0089146D" w:rsidRPr="000A0A8B" w:rsidRDefault="0089146D" w:rsidP="00854E1B">
            <w:pPr>
              <w:spacing w:after="0" w:line="240" w:lineRule="auto"/>
              <w:ind w:left="-198" w:firstLine="90"/>
              <w:contextualSpacing/>
              <w:rPr>
                <w:rFonts w:ascii="Nikosh" w:hAnsi="Nikosh" w:cs="Nikosh"/>
                <w:b/>
                <w:sz w:val="26"/>
                <w:szCs w:val="26"/>
                <w:rtl/>
                <w:cs/>
                <w:lang w:bidi="bn-BD"/>
              </w:rPr>
            </w:pPr>
            <w:r w:rsidRPr="00882B26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ন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থি নং- ২৬.০১.০০০০.০১২.১৮.০১৯.২২- </w:t>
            </w:r>
          </w:p>
        </w:tc>
        <w:tc>
          <w:tcPr>
            <w:tcW w:w="3600" w:type="dxa"/>
            <w:vMerge w:val="restart"/>
            <w:vAlign w:val="center"/>
          </w:tcPr>
          <w:p w:rsidR="0089146D" w:rsidRPr="000A0A8B" w:rsidRDefault="0089146D" w:rsidP="00854E1B">
            <w:pPr>
              <w:spacing w:after="0" w:line="240" w:lineRule="auto"/>
              <w:ind w:left="720"/>
              <w:contextualSpacing/>
              <w:jc w:val="right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0A0A8B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তারিখ</w:t>
            </w:r>
            <w:r w:rsidRPr="000A0A8B">
              <w:rPr>
                <w:rFonts w:ascii="Nikosh" w:hAnsi="Nikosh" w:cs="Nikosh"/>
                <w:b/>
                <w:sz w:val="26"/>
                <w:szCs w:val="26"/>
                <w:lang w:bidi="bn-IN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9146D" w:rsidRPr="000A0A8B" w:rsidRDefault="00D12F8E" w:rsidP="00854E1B">
            <w:pPr>
              <w:spacing w:after="0" w:line="240" w:lineRule="auto"/>
              <w:contextualSpacing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/>
                <w:sz w:val="26"/>
                <w:szCs w:val="26"/>
                <w:cs/>
                <w:lang w:bidi="bn-BD"/>
              </w:rPr>
              <w:t>০৫</w:t>
            </w:r>
            <w:r w:rsidR="00C436E3"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 xml:space="preserve"> আশ্বিন</w:t>
            </w:r>
            <w:r w:rsidR="0089146D"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 xml:space="preserve"> ১৪২৯</w:t>
            </w:r>
          </w:p>
        </w:tc>
      </w:tr>
      <w:tr w:rsidR="0089146D" w:rsidRPr="000A0A8B" w:rsidTr="00854E1B">
        <w:trPr>
          <w:trHeight w:val="337"/>
        </w:trPr>
        <w:tc>
          <w:tcPr>
            <w:tcW w:w="4842" w:type="dxa"/>
            <w:vMerge/>
          </w:tcPr>
          <w:p w:rsidR="0089146D" w:rsidRPr="000A0A8B" w:rsidRDefault="0089146D" w:rsidP="00854E1B">
            <w:pPr>
              <w:spacing w:after="0" w:line="240" w:lineRule="auto"/>
              <w:ind w:left="720"/>
              <w:contextualSpacing/>
              <w:jc w:val="center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3600" w:type="dxa"/>
            <w:vMerge/>
          </w:tcPr>
          <w:p w:rsidR="0089146D" w:rsidRPr="000A0A8B" w:rsidRDefault="0089146D" w:rsidP="00854E1B">
            <w:pPr>
              <w:spacing w:after="0" w:line="240" w:lineRule="auto"/>
              <w:ind w:left="720"/>
              <w:contextualSpacing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9146D" w:rsidRPr="000A0A8B" w:rsidRDefault="00D12F8E" w:rsidP="00854E1B">
            <w:pPr>
              <w:spacing w:after="0" w:line="240" w:lineRule="auto"/>
              <w:contextualSpacing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>২০</w:t>
            </w:r>
            <w:r w:rsidR="0089146D"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 xml:space="preserve"> সেপ্টেম্বর ২০২২</w:t>
            </w:r>
          </w:p>
        </w:tc>
      </w:tr>
    </w:tbl>
    <w:p w:rsidR="0073478E" w:rsidRPr="0073478E" w:rsidRDefault="0089146D" w:rsidP="0073478E">
      <w:pPr>
        <w:jc w:val="center"/>
        <w:rPr>
          <w:rFonts w:ascii="Nikosh" w:hAnsi="Nikosh" w:cs="Nikosh"/>
          <w:b/>
          <w:bCs/>
          <w:sz w:val="40"/>
          <w:szCs w:val="40"/>
          <w:u w:val="single"/>
          <w:cs/>
          <w:lang w:bidi="bn-BD"/>
        </w:rPr>
      </w:pPr>
      <w:r w:rsidRPr="00E23F22">
        <w:rPr>
          <w:rFonts w:ascii="Nikosh" w:hAnsi="Nikosh" w:cs="Nikosh" w:hint="cs"/>
          <w:b/>
          <w:bCs/>
          <w:sz w:val="40"/>
          <w:szCs w:val="40"/>
          <w:u w:val="single"/>
          <w:cs/>
          <w:lang w:bidi="bn-BD"/>
        </w:rPr>
        <w:t>প্রেস রিলিজ</w:t>
      </w:r>
    </w:p>
    <w:p w:rsidR="0073478E" w:rsidRDefault="0073478E" w:rsidP="0073478E">
      <w:pPr>
        <w:spacing w:after="0"/>
        <w:jc w:val="center"/>
        <w:rPr>
          <w:rFonts w:ascii="Nikosh" w:hAnsi="Nikosh" w:cs="Nikosh"/>
          <w:bCs/>
          <w:sz w:val="32"/>
          <w:szCs w:val="32"/>
          <w:lang w:bidi="bn-IN"/>
        </w:rPr>
      </w:pPr>
      <w:r w:rsidRPr="00BF1018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“এন্টি-ডাম্পিং, কাউন্টারভেইলিং ও সেইফগার্ড মেজার্স” শীর্ষক সেমিনার </w:t>
      </w:r>
    </w:p>
    <w:p w:rsidR="0073478E" w:rsidRPr="0073478E" w:rsidRDefault="0073478E" w:rsidP="0073478E">
      <w:pPr>
        <w:spacing w:after="0"/>
        <w:jc w:val="center"/>
        <w:rPr>
          <w:rFonts w:ascii="Nikosh" w:hAnsi="Nikosh" w:cs="Nikosh"/>
          <w:bCs/>
          <w:sz w:val="16"/>
          <w:szCs w:val="16"/>
          <w:cs/>
          <w:lang w:bidi="bn-IN"/>
        </w:rPr>
      </w:pPr>
    </w:p>
    <w:p w:rsidR="0073478E" w:rsidRPr="003662D4" w:rsidRDefault="0073478E" w:rsidP="0073478E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২০ সেপ্টেম্বর ২০২২ সকাল ০৯:৩০ টায় </w:t>
      </w:r>
      <w:r w:rsidRPr="0044496A">
        <w:rPr>
          <w:rFonts w:ascii="Nikosh" w:hAnsi="Nikosh" w:cs="Nikosh" w:hint="cs"/>
          <w:sz w:val="28"/>
          <w:szCs w:val="28"/>
          <w:cs/>
          <w:lang w:bidi="bn-IN"/>
        </w:rPr>
        <w:t xml:space="preserve">বাংলাদেশ ট্রেড এন্ড ট্যারিফ কমিশনের সভাকক্ষে </w:t>
      </w:r>
      <w:r w:rsidRPr="00BD03CF">
        <w:rPr>
          <w:rFonts w:ascii="Nikosh" w:hAnsi="Nikosh" w:cs="Nikosh" w:hint="cs"/>
          <w:sz w:val="28"/>
          <w:szCs w:val="28"/>
          <w:cs/>
          <w:lang w:bidi="bn-IN"/>
        </w:rPr>
        <w:t>“</w:t>
      </w:r>
      <w:r w:rsidRPr="00BF1018">
        <w:rPr>
          <w:rFonts w:ascii="Nikosh" w:hAnsi="Nikosh" w:cs="Nikosh" w:hint="cs"/>
          <w:sz w:val="28"/>
          <w:szCs w:val="28"/>
          <w:cs/>
          <w:lang w:bidi="bn-IN"/>
        </w:rPr>
        <w:t>এন্টি</w:t>
      </w:r>
      <w:r w:rsidRPr="00BF1018">
        <w:rPr>
          <w:rFonts w:ascii="Nikosh" w:hAnsi="Nikosh" w:cs="Nikosh"/>
          <w:sz w:val="28"/>
          <w:szCs w:val="28"/>
          <w:lang w:bidi="bn-IN"/>
        </w:rPr>
        <w:t>-</w:t>
      </w:r>
      <w:r w:rsidRPr="00BF1018">
        <w:rPr>
          <w:rFonts w:ascii="Nikosh" w:hAnsi="Nikosh" w:cs="Nikosh" w:hint="cs"/>
          <w:sz w:val="28"/>
          <w:szCs w:val="28"/>
          <w:cs/>
          <w:lang w:bidi="bn-IN"/>
        </w:rPr>
        <w:t>ডাম্পিং</w:t>
      </w:r>
      <w:r w:rsidRPr="00BF1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BF1018">
        <w:rPr>
          <w:rFonts w:ascii="Nikosh" w:hAnsi="Nikosh" w:cs="Nikosh" w:hint="cs"/>
          <w:sz w:val="28"/>
          <w:szCs w:val="28"/>
          <w:cs/>
          <w:lang w:bidi="bn-IN"/>
        </w:rPr>
        <w:t>কাউন্টারভেইলিংওসেইফগার্ডমেজার্স</w:t>
      </w:r>
      <w:r w:rsidRPr="00BF1018">
        <w:rPr>
          <w:rFonts w:ascii="Nikosh" w:hAnsi="Nikosh" w:cs="Nikosh" w:hint="eastAsia"/>
          <w:sz w:val="28"/>
          <w:szCs w:val="28"/>
          <w:lang w:bidi="bn-IN"/>
        </w:rPr>
        <w:t>”</w:t>
      </w:r>
      <w:r w:rsidRPr="00BF1018">
        <w:rPr>
          <w:rFonts w:ascii="Nikosh" w:hAnsi="Nikosh" w:cs="Nikosh" w:hint="cs"/>
          <w:sz w:val="28"/>
          <w:szCs w:val="28"/>
          <w:cs/>
          <w:lang w:bidi="bn-IN"/>
        </w:rPr>
        <w:t>শীর্ষক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এক সেমিনার </w:t>
      </w:r>
      <w:r w:rsidRPr="0044496A">
        <w:rPr>
          <w:rFonts w:ascii="Nikosh" w:hAnsi="Nikosh" w:cs="Nikosh" w:hint="cs"/>
          <w:sz w:val="28"/>
          <w:szCs w:val="28"/>
          <w:cs/>
          <w:lang w:bidi="bn-IN"/>
        </w:rPr>
        <w:t xml:space="preserve">অনুষ্ঠিত হয়। উক্ত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সেমিনারে </w:t>
      </w:r>
      <w:r w:rsidRPr="0044496A">
        <w:rPr>
          <w:rFonts w:ascii="Nikosh" w:hAnsi="Nikosh" w:cs="Nikosh" w:hint="cs"/>
          <w:sz w:val="28"/>
          <w:szCs w:val="28"/>
          <w:cs/>
          <w:lang w:bidi="bn-IN"/>
        </w:rPr>
        <w:t xml:space="preserve">প্রধান অতিথি হিসেবে </w:t>
      </w:r>
      <w:r>
        <w:rPr>
          <w:rFonts w:ascii="Nikosh" w:hAnsi="Nikosh" w:cs="Nikosh" w:hint="cs"/>
          <w:sz w:val="28"/>
          <w:szCs w:val="28"/>
          <w:cs/>
          <w:lang w:bidi="bn-IN"/>
        </w:rPr>
        <w:t>ভারচুয়ালি যুক্ত</w:t>
      </w:r>
      <w:r w:rsidRPr="0044496A">
        <w:rPr>
          <w:rFonts w:ascii="Nikosh" w:hAnsi="Nikosh" w:cs="Nikosh" w:hint="cs"/>
          <w:sz w:val="28"/>
          <w:szCs w:val="28"/>
          <w:cs/>
          <w:lang w:bidi="bn-IN"/>
        </w:rPr>
        <w:t xml:space="preserve"> ছিলেন বাংলাদেশ ট্রেড এন্ড ট্যারিফ কমিশনের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চেয়ারম্যান (সরকারের সচিব) </w:t>
      </w:r>
      <w:r w:rsidRPr="0044496A">
        <w:rPr>
          <w:rFonts w:ascii="Nikosh" w:hAnsi="Nikosh" w:cs="Nikosh" w:hint="cs"/>
          <w:sz w:val="28"/>
          <w:szCs w:val="28"/>
          <w:cs/>
          <w:lang w:bidi="bn-IN"/>
        </w:rPr>
        <w:t>মাহফুজা আখতার।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সেমিনারে স্বাগত বক্তব্য রাখেন কমিশনের সদস্য শীষ হায়দার চৌধুরী, এনডিসি। মূল প্রবন্ধের </w:t>
      </w:r>
      <w:r w:rsidRPr="00BF1018">
        <w:rPr>
          <w:rFonts w:ascii="Nikosh" w:hAnsi="Nikosh" w:cs="Nikosh" w:hint="cs"/>
          <w:sz w:val="28"/>
          <w:szCs w:val="28"/>
          <w:cs/>
          <w:lang w:bidi="bn-IN"/>
        </w:rPr>
        <w:t>এন্টি</w:t>
      </w:r>
      <w:r w:rsidRPr="00BF1018">
        <w:rPr>
          <w:rFonts w:ascii="Nikosh" w:hAnsi="Nikosh" w:cs="Nikosh"/>
          <w:sz w:val="28"/>
          <w:szCs w:val="28"/>
          <w:lang w:bidi="bn-IN"/>
        </w:rPr>
        <w:t>-</w:t>
      </w:r>
      <w:r w:rsidRPr="00BF1018">
        <w:rPr>
          <w:rFonts w:ascii="Nikosh" w:hAnsi="Nikosh" w:cs="Nikosh" w:hint="cs"/>
          <w:sz w:val="28"/>
          <w:szCs w:val="28"/>
          <w:cs/>
          <w:lang w:bidi="bn-IN"/>
        </w:rPr>
        <w:t>ডাম্পিং</w:t>
      </w:r>
      <w:r>
        <w:rPr>
          <w:rFonts w:ascii="Nikosh" w:hAnsi="Nikosh" w:cs="Nikosh" w:hint="cs"/>
          <w:sz w:val="28"/>
          <w:szCs w:val="28"/>
          <w:cs/>
          <w:lang w:bidi="bn-IN"/>
        </w:rPr>
        <w:t>ও</w:t>
      </w:r>
      <w:r w:rsidRPr="00BF1018">
        <w:rPr>
          <w:rFonts w:ascii="Nikosh" w:hAnsi="Nikosh" w:cs="Nikosh" w:hint="cs"/>
          <w:sz w:val="28"/>
          <w:szCs w:val="28"/>
          <w:cs/>
          <w:lang w:bidi="bn-IN"/>
        </w:rPr>
        <w:t>কাউন্টারভেইলিং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মেজার্সবিষয়ে উপস্থাপন করেন মো: আব্দুল লতিফ, উপ-প্রধান (চ.দা.), </w:t>
      </w:r>
      <w:r w:rsidRPr="0044496A">
        <w:rPr>
          <w:rFonts w:ascii="Nikosh" w:hAnsi="Nikosh" w:cs="Nikosh" w:hint="cs"/>
          <w:sz w:val="28"/>
          <w:szCs w:val="28"/>
          <w:cs/>
          <w:lang w:bidi="bn-IN"/>
        </w:rPr>
        <w:t xml:space="preserve">বাংলাদেশ ট্রেড এন্ড ট্যারিফ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কমিশন এবং </w:t>
      </w:r>
      <w:r w:rsidRPr="003662D4">
        <w:rPr>
          <w:rFonts w:ascii="Nikosh" w:hAnsi="Nikosh" w:cs="Nikosh" w:hint="cs"/>
          <w:sz w:val="28"/>
          <w:szCs w:val="28"/>
          <w:cs/>
          <w:lang w:bidi="bn-IN"/>
        </w:rPr>
        <w:t>সেইফগার্ডমেজার্সবিষয়েউ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পস্থাপন করেন </w:t>
      </w:r>
      <w:r w:rsidRPr="003662D4">
        <w:rPr>
          <w:rFonts w:ascii="Nikosh" w:hAnsi="Nikosh" w:cs="Nikosh" w:hint="cs"/>
          <w:sz w:val="28"/>
          <w:szCs w:val="28"/>
          <w:cs/>
          <w:lang w:bidi="bn-IN"/>
        </w:rPr>
        <w:t>মহিনুল করিম খন্দকার</w:t>
      </w:r>
      <w:r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 সহকারী প্রধান (চ.দা.), বাংলাদেশ ট্রেড এন্ড ট্যারিফ কমিশন। প্রধান অতিথি তাঁর বক্তব্যের শুরুতে বলেন,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দেশীয় ও </w:t>
      </w:r>
      <w:r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আন্তর্জাতিক বাণিজ্য সম্প্রসারণ </w:t>
      </w:r>
      <w:r>
        <w:rPr>
          <w:rFonts w:ascii="Nikosh" w:hAnsi="Nikosh" w:cs="Nikosh" w:hint="cs"/>
          <w:sz w:val="28"/>
          <w:szCs w:val="28"/>
          <w:cs/>
          <w:lang w:bidi="bn-IN"/>
        </w:rPr>
        <w:t>এবং</w:t>
      </w:r>
      <w:r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 অসাধু বাণিজ্য প্রতিরোধকল্পে জাতির পিতা বঙ্গবন্ধু শেখ মুজিবুর রহমানের প্রত্যক্ষ তত্ত্বাবধানে ১৯৭৩ সালে ট্যারিফ কমিশন প্রতিষ্ঠা করা হয়। তিনি আরো বলেন, বাণিজ্যে ভারসাম্য ও স্থিতিশীলতা রাখার জন্য এন্টি</w:t>
      </w:r>
      <w:r w:rsidRPr="003662D4">
        <w:rPr>
          <w:rFonts w:ascii="Nikosh" w:hAnsi="Nikosh" w:cs="Nikosh"/>
          <w:sz w:val="28"/>
          <w:szCs w:val="28"/>
          <w:lang w:bidi="bn-IN"/>
        </w:rPr>
        <w:t>-</w:t>
      </w:r>
      <w:r w:rsidRPr="003662D4">
        <w:rPr>
          <w:rFonts w:ascii="Nikosh" w:hAnsi="Nikosh" w:cs="Nikosh" w:hint="cs"/>
          <w:sz w:val="28"/>
          <w:szCs w:val="28"/>
          <w:cs/>
          <w:lang w:bidi="bn-IN"/>
        </w:rPr>
        <w:t>ডাম্পিং</w:t>
      </w:r>
      <w:r w:rsidRPr="003662D4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3662D4">
        <w:rPr>
          <w:rFonts w:ascii="Nikosh" w:hAnsi="Nikosh" w:cs="Nikosh" w:hint="cs"/>
          <w:sz w:val="28"/>
          <w:szCs w:val="28"/>
          <w:cs/>
          <w:lang w:bidi="bn-IN"/>
        </w:rPr>
        <w:t>কাউন্টারভেইলিংওসেইফগার্ডমেজার্সগুলোগুরুত্বপূর্ণটুলসযাদেশীয়শিল্পেরস্বার্থসহায়কহিসেবেকাজকরে</w:t>
      </w:r>
      <w:r w:rsidRPr="003662D4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সেমিনারে সংশ্লিষ্ট সরকারি সংস্থার প্রতিনিধি,বিভিন্ন শিল্প-বাণিজ্য সংগঠনের প্রতিনিধি, শিল্প ও ব্যবসায়ী প্রতিষ্ঠানের প্রতিনিধি এবং বাংলাদেশ ট্রেড এন্ড ট্যারিফ কমিশনের বিভিন্ন স্তরের কর্মকর্তা অংশগ্রহন করেন।   </w:t>
      </w:r>
    </w:p>
    <w:p w:rsidR="0089146D" w:rsidRPr="004F24DB" w:rsidRDefault="0073478E" w:rsidP="0073478E">
      <w:pPr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noProof/>
          <w:sz w:val="32"/>
          <w:szCs w:val="32"/>
          <w:lang w:bidi="bn-BD"/>
        </w:rPr>
        <w:drawing>
          <wp:inline distT="0" distB="0" distL="0" distR="0">
            <wp:extent cx="4019550" cy="26797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_01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750" cy="267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46D" w:rsidRPr="0073478E" w:rsidRDefault="0073478E" w:rsidP="0073478E">
      <w:pPr>
        <w:jc w:val="center"/>
        <w:rPr>
          <w:rFonts w:ascii="Nikosh" w:hAnsi="Nikosh" w:cs="Nikosh"/>
          <w:sz w:val="24"/>
          <w:szCs w:val="24"/>
          <w:lang w:bidi="bn-IN"/>
        </w:rPr>
      </w:pPr>
      <w:r w:rsidRPr="0073478E">
        <w:rPr>
          <w:rFonts w:ascii="Nikosh" w:hAnsi="Nikosh" w:cs="Nikosh" w:hint="cs"/>
          <w:sz w:val="24"/>
          <w:szCs w:val="24"/>
          <w:cs/>
          <w:lang w:bidi="bn-IN"/>
        </w:rPr>
        <w:t>“এন্টি-ডাম্পিং, কাউন্টারভেইলিং ও সেইফগার্ড মেজার্স” শীর্ষক সেমিনারের চিত্র</w:t>
      </w:r>
    </w:p>
    <w:p w:rsidR="0073478E" w:rsidRDefault="0073478E" w:rsidP="0089146D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p w:rsidR="0089146D" w:rsidRPr="00E23F22" w:rsidRDefault="0089146D" w:rsidP="0089146D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স্বাক্ষরিত-</w:t>
      </w:r>
      <w:r w:rsidR="00B47570">
        <w:rPr>
          <w:rFonts w:ascii="Nikosh" w:hAnsi="Nikosh" w:cs="Nikosh" w:hint="cs"/>
          <w:sz w:val="28"/>
          <w:szCs w:val="28"/>
          <w:cs/>
          <w:lang w:bidi="bn-IN"/>
        </w:rPr>
        <w:t>২০</w:t>
      </w:r>
      <w:bookmarkStart w:id="0" w:name="_GoBack"/>
      <w:bookmarkEnd w:id="0"/>
      <w:r>
        <w:rPr>
          <w:rFonts w:ascii="Nikosh" w:hAnsi="Nikosh" w:cs="Nikosh" w:hint="cs"/>
          <w:sz w:val="28"/>
          <w:szCs w:val="28"/>
          <w:cs/>
          <w:lang w:bidi="bn-IN"/>
        </w:rPr>
        <w:t>/০৯/২০২২</w:t>
      </w:r>
    </w:p>
    <w:p w:rsidR="0089146D" w:rsidRDefault="0089146D" w:rsidP="0089146D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মুহাম্মদ মিনহাজ উদ্দিন </w:t>
      </w:r>
    </w:p>
    <w:p w:rsidR="00427C65" w:rsidRDefault="00427C65" w:rsidP="0089146D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গবেষণা কর্মকর্তা</w:t>
      </w:r>
    </w:p>
    <w:p w:rsidR="00427C65" w:rsidRPr="00E23F22" w:rsidRDefault="00427C65" w:rsidP="0089146D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ও </w:t>
      </w:r>
    </w:p>
    <w:p w:rsidR="0089146D" w:rsidRPr="00E23F22" w:rsidRDefault="007817F7" w:rsidP="007817F7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BD"/>
        </w:rPr>
        <w:t xml:space="preserve">                                                                                              </w:t>
      </w:r>
      <w:r w:rsidR="0089146D" w:rsidRPr="00E23F22">
        <w:rPr>
          <w:rFonts w:ascii="Nikosh" w:hAnsi="Nikosh" w:cs="Nikosh" w:hint="cs"/>
          <w:sz w:val="28"/>
          <w:szCs w:val="28"/>
          <w:cs/>
          <w:lang w:bidi="bn-BD"/>
        </w:rPr>
        <w:t>জনসংযোগ ও প্রকাশনা কর্মকর্তা</w:t>
      </w:r>
      <w:r w:rsidR="00105EBA">
        <w:rPr>
          <w:rFonts w:ascii="Nikosh" w:hAnsi="Nikosh" w:cs="Nikosh" w:hint="cs"/>
          <w:sz w:val="28"/>
          <w:szCs w:val="28"/>
          <w:cs/>
          <w:lang w:bidi="bn-IN"/>
        </w:rPr>
        <w:t xml:space="preserve"> (অঃ দাঃ)</w:t>
      </w:r>
    </w:p>
    <w:p w:rsidR="0089146D" w:rsidRPr="00E23F22" w:rsidRDefault="0089146D" w:rsidP="0089146D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lang w:bidi="bn-BD"/>
        </w:rPr>
      </w:pPr>
      <w:r w:rsidRPr="00E23F22">
        <w:rPr>
          <w:rFonts w:ascii="Nikosh" w:hAnsi="Nikosh" w:cs="Nikosh" w:hint="cs"/>
          <w:sz w:val="28"/>
          <w:szCs w:val="28"/>
          <w:cs/>
          <w:lang w:bidi="bn-BD"/>
        </w:rPr>
        <w:t>বাংলাদেশ ট্রেড এন্ড ট্যারিফ কমিশন</w:t>
      </w:r>
    </w:p>
    <w:p w:rsidR="0089146D" w:rsidRPr="00E23F22" w:rsidRDefault="0089146D" w:rsidP="0089146D">
      <w:pPr>
        <w:spacing w:after="0" w:line="240" w:lineRule="auto"/>
        <w:ind w:left="6480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E23F22">
        <w:rPr>
          <w:rFonts w:ascii="Nikosh" w:hAnsi="Nikosh" w:cs="Nikosh" w:hint="cs"/>
          <w:sz w:val="28"/>
          <w:szCs w:val="28"/>
          <w:cs/>
          <w:lang w:bidi="bn-BD"/>
        </w:rPr>
        <w:t>সেগুনবাগিচা, ঢাকা।</w:t>
      </w:r>
    </w:p>
    <w:p w:rsidR="00E23F22" w:rsidRPr="00ED7C93" w:rsidRDefault="00E23F22" w:rsidP="00ED7C93">
      <w:pPr>
        <w:spacing w:after="0" w:line="240" w:lineRule="auto"/>
        <w:rPr>
          <w:rFonts w:ascii="Nikosh" w:hAnsi="Nikosh" w:cs="Nikosh"/>
          <w:sz w:val="18"/>
          <w:szCs w:val="18"/>
          <w:lang w:bidi="bn-IN"/>
        </w:rPr>
      </w:pPr>
    </w:p>
    <w:sectPr w:rsidR="00E23F22" w:rsidRPr="00ED7C93" w:rsidSect="0073478E">
      <w:pgSz w:w="11907" w:h="16839" w:code="9"/>
      <w:pgMar w:top="576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6AE"/>
    <w:rsid w:val="00000F20"/>
    <w:rsid w:val="000230B7"/>
    <w:rsid w:val="000552D4"/>
    <w:rsid w:val="00063462"/>
    <w:rsid w:val="00067FB9"/>
    <w:rsid w:val="000B2792"/>
    <w:rsid w:val="000B4E6B"/>
    <w:rsid w:val="000E7C90"/>
    <w:rsid w:val="001010E2"/>
    <w:rsid w:val="00105EBA"/>
    <w:rsid w:val="00124F29"/>
    <w:rsid w:val="001750BC"/>
    <w:rsid w:val="001E399D"/>
    <w:rsid w:val="00204F94"/>
    <w:rsid w:val="002615D5"/>
    <w:rsid w:val="00353F11"/>
    <w:rsid w:val="00367DDF"/>
    <w:rsid w:val="00427C65"/>
    <w:rsid w:val="00431F6F"/>
    <w:rsid w:val="00494FFE"/>
    <w:rsid w:val="004F24DB"/>
    <w:rsid w:val="00525109"/>
    <w:rsid w:val="00536A2E"/>
    <w:rsid w:val="00611223"/>
    <w:rsid w:val="00617C0B"/>
    <w:rsid w:val="00666C57"/>
    <w:rsid w:val="006A118D"/>
    <w:rsid w:val="006B7835"/>
    <w:rsid w:val="006E167D"/>
    <w:rsid w:val="0073478E"/>
    <w:rsid w:val="007817F7"/>
    <w:rsid w:val="007D168F"/>
    <w:rsid w:val="00815B51"/>
    <w:rsid w:val="00866C90"/>
    <w:rsid w:val="0089146D"/>
    <w:rsid w:val="008A349B"/>
    <w:rsid w:val="008E7B29"/>
    <w:rsid w:val="00910D13"/>
    <w:rsid w:val="0096248D"/>
    <w:rsid w:val="009926AE"/>
    <w:rsid w:val="009E2914"/>
    <w:rsid w:val="009F2EFC"/>
    <w:rsid w:val="00B47570"/>
    <w:rsid w:val="00B63FCC"/>
    <w:rsid w:val="00BA5B11"/>
    <w:rsid w:val="00C26EF5"/>
    <w:rsid w:val="00C30034"/>
    <w:rsid w:val="00C436E3"/>
    <w:rsid w:val="00C76E9B"/>
    <w:rsid w:val="00CB11BE"/>
    <w:rsid w:val="00CC4E29"/>
    <w:rsid w:val="00D12F8E"/>
    <w:rsid w:val="00DB0FBA"/>
    <w:rsid w:val="00E059E4"/>
    <w:rsid w:val="00E23F22"/>
    <w:rsid w:val="00E34C9C"/>
    <w:rsid w:val="00E376C0"/>
    <w:rsid w:val="00E71B19"/>
    <w:rsid w:val="00ED7C93"/>
    <w:rsid w:val="00F049AA"/>
    <w:rsid w:val="00F4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mujib100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BTC</cp:lastModifiedBy>
  <cp:revision>51</cp:revision>
  <cp:lastPrinted>2022-09-21T02:52:00Z</cp:lastPrinted>
  <dcterms:created xsi:type="dcterms:W3CDTF">2020-03-05T09:24:00Z</dcterms:created>
  <dcterms:modified xsi:type="dcterms:W3CDTF">2022-09-21T07:39:00Z</dcterms:modified>
</cp:coreProperties>
</file>